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32"/>
          <w:szCs w:val="32"/>
          <w:rtl w:val="0"/>
        </w:rPr>
        <w:t xml:space="preserve">Clinician-Ready Device Data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80" w:lineRule="auto"/>
        <w:rPr>
          <w:color w:val="28b880"/>
        </w:rPr>
      </w:pPr>
      <w:r w:rsidDel="00000000" w:rsidR="00000000" w:rsidRPr="00000000">
        <w:rPr>
          <w:b w:val="0"/>
          <w:bCs w:val="0"/>
          <w:i w:val="1"/>
          <w:iCs w:val="1"/>
          <w:color w:val="28b880"/>
          <w:sz w:val="22"/>
          <w:szCs w:val="22"/>
          <w:rtl w:val="0"/>
        </w:rPr>
        <w:t xml:space="preserve">A practical self-check for rehab and biomechanics device teams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rPr>
          <w:b w:val="0"/>
          <w:bCs w:val="0"/>
          <w:i w:val="0"/>
          <w:iCs w:val="0"/>
          <w:sz w:val="22"/>
          <w:szCs w:val="22"/>
        </w:rPr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Use this checklist to assess whether strong device measurements — gait, EMG, force, pressure, motion, or balance data — are already translated into outputs clinicians can interpret, compare, share, and use across sessions. Mark each item Yes / Partial / No. The goal isn't to score the device — it's to expose gaps in the software and workflow layer around the data.</w:t>
      </w:r>
    </w:p>
    <w:p w:rsidR="00000000" w:rsidDel="00000000" w:rsidP="00000000" w:rsidRDefault="00000000" w:rsidRPr="00000000" w14:paraId="00000006">
      <w:pPr>
        <w:spacing w:after="20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Explanation:</w:t>
      </w:r>
    </w:p>
    <w:p w:rsidR="00000000" w:rsidDel="00000000" w:rsidP="00000000" w:rsidRDefault="00000000" w:rsidRPr="00000000" w14:paraId="00000007">
      <w:pPr>
        <w:spacing w:after="200" w:lineRule="auto"/>
        <w:rPr>
          <w:sz w:val="22"/>
          <w:szCs w:val="22"/>
          <w:highlight w:val="yellow"/>
        </w:rPr>
      </w:pPr>
      <w:r w:rsidDel="00000000" w:rsidR="00000000" w:rsidRPr="00000000">
        <w:rPr>
          <w:sz w:val="22"/>
          <w:szCs w:val="22"/>
          <w:rtl w:val="0"/>
        </w:rPr>
        <w:t xml:space="preserve">Yes - check mark; No - no check mark; Partial - </w:t>
      </w:r>
      <w:r w:rsidDel="00000000" w:rsidR="00000000" w:rsidRPr="00000000">
        <w:rPr>
          <w:sz w:val="22"/>
          <w:szCs w:val="22"/>
          <w:highlight w:val="yellow"/>
          <w:rtl w:val="0"/>
        </w:rPr>
        <w:t xml:space="preserve">highlight the statement in yellow.</w:t>
      </w:r>
    </w:p>
    <w:p w:rsidR="00000000" w:rsidDel="00000000" w:rsidP="00000000" w:rsidRDefault="00000000" w:rsidRPr="00000000" w14:paraId="00000008">
      <w:pPr>
        <w:pStyle w:val="Heading2"/>
        <w:spacing w:after="120" w:before="300" w:lineRule="auto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1. Measurement &amp; Clinical Context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Every reading is tied to the correct patient, session, device, and test protocol (e.g., gait cycle, EMG trial, balance test).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The software captures the metadata needed to interpret a measurement later — device calibration, test conditions, protocol version.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Clinicians can immediately see whether a capture is complete, valid, and ready to review — before they act on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Raw sensor output (force curves, EMG waveforms, motion trajectories) is converted into stable, clinically meaningful metrics before reaching the clinician.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8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Measurement logic stays consistent across devices, sessions, and patients, so numbers mean the same thing every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60" w:lineRule="auto"/>
        <w:rPr>
          <w:color w:val="28b880"/>
        </w:rPr>
      </w:pPr>
      <w:r w:rsidDel="00000000" w:rsidR="00000000" w:rsidRPr="00000000">
        <w:rPr>
          <w:i w:val="1"/>
          <w:iCs w:val="1"/>
          <w:color w:val="28b880"/>
          <w:sz w:val="20"/>
          <w:szCs w:val="20"/>
          <w:rtl w:val="0"/>
        </w:rPr>
        <w:t xml:space="preserve">What good looks like: a clinician never has to ask "where did this number come from, and can I trust it?"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after="120" w:before="300" w:lineRule="auto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2. Interpretation &amp; Clinical Meaning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The product converts raw metrics (e.g., stride asymmetry, muscle activation, ground reaction force) into a clinical read, not just a chart.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Reference ranges, thresholds, or population norms are visible where clinically relevant.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Standardized assessments (e.g., gait scores, balance indices) are supported when the use case calls for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A clinician can act on the result without opening a separate spreadsheet or running a manual calculation.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8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The interface makes clear what's measured vs. what still requires clinical judgment.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60" w:lineRule="auto"/>
        <w:rPr>
          <w:color w:val="28b880"/>
        </w:rPr>
      </w:pPr>
      <w:r w:rsidDel="00000000" w:rsidR="00000000" w:rsidRPr="00000000">
        <w:rPr>
          <w:i w:val="1"/>
          <w:iCs w:val="1"/>
          <w:color w:val="28b880"/>
          <w:sz w:val="20"/>
          <w:szCs w:val="20"/>
          <w:rtl w:val="0"/>
        </w:rPr>
        <w:t xml:space="preserve">What good looks like: the dashboard is a clinical assessment tool, not a data export screen.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spacing w:after="120" w:before="300" w:lineRule="auto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3. Longitudinal Comparison &amp; Progress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Clinicians can pull up the current session next to prior sessions without extra steps.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Change over time — improvement, plateau, regression — is visible at a glance, not buried across separate files.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Trend or side-by-side views exist for the metrics that actually drive treatment decisions.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Baseline, milestone, and follow-up measurements live in one place, comparable by default.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8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A clinician can review a patient's progress without manually exporting and recombining data from multiple sessions.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60" w:lineRule="auto"/>
        <w:rPr>
          <w:i w:val="1"/>
          <w:iCs w:val="1"/>
          <w:color w:val="28b880"/>
          <w:sz w:val="20"/>
          <w:szCs w:val="20"/>
        </w:rPr>
      </w:pPr>
      <w:r w:rsidDel="00000000" w:rsidR="00000000" w:rsidRPr="00000000">
        <w:rPr>
          <w:i w:val="1"/>
          <w:iCs w:val="1"/>
          <w:color w:val="28b880"/>
          <w:sz w:val="20"/>
          <w:szCs w:val="20"/>
          <w:rtl w:val="0"/>
        </w:rPr>
        <w:t xml:space="preserve">What good looks like: the product answers "what changed?" as easily as it answers "what did we measure today?"</w:t>
      </w:r>
    </w:p>
    <w:p w:rsidR="00000000" w:rsidDel="00000000" w:rsidP="00000000" w:rsidRDefault="00000000" w:rsidRPr="00000000" w14:paraId="0000001D">
      <w:pPr>
        <w:pStyle w:val="Heading2"/>
        <w:spacing w:after="120" w:before="300" w:lineRule="auto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4. Session Summaries, Reports &amp; Sharing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A clinician can generate a clear session or progress summary directly from the product — no separate document.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Reports surface what matters clinically, not every metric the device is capable of capturing.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Reports export or share cleanly into the next step of care — a referral, a payer note, a patient handout.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Patient, session, device, and measurement context travel with the report, not just the numbers.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Someone who wasn't in the room for the measurement can still understand the report.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60" w:lineRule="auto"/>
        <w:rPr>
          <w:color w:val="28b880"/>
        </w:rPr>
      </w:pPr>
      <w:r w:rsidDel="00000000" w:rsidR="00000000" w:rsidRPr="00000000">
        <w:rPr>
          <w:i w:val="1"/>
          <w:iCs w:val="1"/>
          <w:color w:val="28b880"/>
          <w:sz w:val="20"/>
          <w:szCs w:val="20"/>
          <w:rtl w:val="0"/>
        </w:rPr>
        <w:t xml:space="preserve">What good looks like: the output is useful after the session ends — at a follow-up visit, in a referral, or in a payer conversation.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after="120" w:before="300" w:lineRule="auto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5. Workflow Fit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The software follows the actual shape of a clinical session — setup, measurement, review, report — without extra detours.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The number of screens and manual entries is proportionate to the clinical value of the assessment.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Different roles (clinician, PT, front-desk, admin) see the right level of detail without extra training.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Output can move into EMR, PT notes, or downstream systems where integration matters to the buyer.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Nothing in the flow requires the clinician to leave the product to make sense of what it just captured.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60" w:lineRule="auto"/>
        <w:rPr>
          <w:color w:val="28b880"/>
        </w:rPr>
      </w:pPr>
      <w:r w:rsidDel="00000000" w:rsidR="00000000" w:rsidRPr="00000000">
        <w:rPr>
          <w:i w:val="1"/>
          <w:iCs w:val="1"/>
          <w:color w:val="28b880"/>
          <w:sz w:val="20"/>
          <w:szCs w:val="20"/>
          <w:rtl w:val="0"/>
        </w:rPr>
        <w:t xml:space="preserve">What good looks like: the device and the software behave like one clinical tool, not two separate products stitched together at a demo.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pacing w:after="120" w:before="300" w:lineRule="auto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6. Product &amp; Adoption Readiness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Device connectivity, application logic, and clinician-facing output are treated as one product, not three separate roadmaps.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Firmware, SDK, or measurement-logic changes can be reflected in the software layer without breaking clinician-facing output.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QA covers the full path from device capture to clinician-visible report, not just individual features.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In a side-by-side comparison, this layer is a reason to choose the product — not a reason to default back to specs and price.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The architecture can support new assessments, devices, or reporting needs without a rebuild.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60" w:lineRule="auto"/>
        <w:rPr>
          <w:color w:val="28b880"/>
        </w:rPr>
      </w:pPr>
      <w:r w:rsidDel="00000000" w:rsidR="00000000" w:rsidRPr="00000000">
        <w:rPr>
          <w:i w:val="1"/>
          <w:iCs w:val="1"/>
          <w:color w:val="28b880"/>
          <w:sz w:val="20"/>
          <w:szCs w:val="20"/>
          <w:rtl w:val="0"/>
        </w:rPr>
        <w:t xml:space="preserve">What good looks like: clinician-facing output becomes a competitive advantage instead of the constraint that slows the next sale.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after="120" w:before="300" w:lineRule="auto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Quick Prioritization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5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Don't treat this as an industry benchmark. Use it to decide where product work has the highest leverage.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Mark every "Partial" or "No" that affects a clinician's ability to interpret, compare, or report — these are the highest-leverage gaps.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Circle any step that still depends on a spreadsheet, manual calculation, or copy-paste.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Identify the first point where your device's data stops being self-explanatory to a clinician.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Identify the first point where a second session becomes hard to compare with the first.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☐  Pick one workflow gap you can close without touching the hardware.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after="120" w:before="300" w:lineRule="auto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The Core Question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5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If your device already captures strong measurements, does the software make that value equally clear across interpretation, comparison, reporting, and daily clinical use — or is that still someone's manual job?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spacing w:after="120" w:before="300" w:lineRule="auto"/>
        <w:rPr>
          <w:color w:val="434343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For Rehab &amp; Biomechanics Device Teams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80" w:lineRule="auto"/>
        <w:rPr>
          <w:sz w:val="22"/>
          <w:szCs w:val="22"/>
        </w:rPr>
      </w:pPr>
      <w:r w:rsidDel="00000000" w:rsidR="00000000" w:rsidRPr="00000000">
        <w:rPr>
          <w:b w:val="0"/>
          <w:bCs w:val="0"/>
          <w:i w:val="0"/>
          <w:iCs w:val="0"/>
          <w:sz w:val="22"/>
          <w:szCs w:val="22"/>
          <w:rtl w:val="0"/>
        </w:rPr>
        <w:t xml:space="preserve">Empeek works on the software layer that sits between connected rehab and biomechanics devices and the clinicians who use them — from device integration and data architecture to clinician-facing reporting and long-term product evolution. If a few "Partial" or "No" answers above look familiar, that's usually where the next competitive advantage is sitting unbuilt.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8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434343"/>
          <w:sz w:val="25"/>
          <w:szCs w:val="25"/>
          <w:rtl w:val="0"/>
        </w:rPr>
        <w:t xml:space="preserve">Need Help?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80" w:lineRule="auto"/>
        <w:rPr>
          <w:sz w:val="22"/>
          <w:szCs w:val="22"/>
        </w:rPr>
      </w:pPr>
      <w:hyperlink r:id="rId7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Empeek</w:t>
        </w:r>
      </w:hyperlink>
      <w:r w:rsidDel="00000000" w:rsidR="00000000" w:rsidRPr="00000000">
        <w:rPr>
          <w:sz w:val="22"/>
          <w:szCs w:val="22"/>
          <w:rtl w:val="0"/>
        </w:rPr>
        <w:t xml:space="preserve"> is a healthcare technology engineering partner for connected MedTech and software-led digital health teams launching, rolling out, expanding, integrating or modernizing their product.</w:t>
      </w:r>
    </w:p>
    <w:p w:rsidR="00000000" w:rsidDel="00000000" w:rsidP="00000000" w:rsidRDefault="00000000" w:rsidRPr="00000000" w14:paraId="0000003F">
      <w:pPr>
        <w:spacing w:after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Our team would be happy to help you prioritize improvements in the interpretation of clinical data.</w:t>
      </w:r>
      <w:r w:rsidDel="00000000" w:rsidR="00000000" w:rsidRPr="00000000">
        <w:rPr>
          <w:sz w:val="22"/>
          <w:szCs w:val="22"/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Contact us today</w:t>
        </w:r>
      </w:hyperlink>
      <w:r w:rsidDel="00000000" w:rsidR="00000000" w:rsidRPr="00000000">
        <w:rPr>
          <w:sz w:val="22"/>
          <w:szCs w:val="22"/>
          <w:rtl w:val="0"/>
        </w:rPr>
        <w:t xml:space="preserve">. </w:t>
      </w:r>
    </w:p>
    <w:sectPr>
      <w:headerReference r:id="rId9" w:type="default"/>
      <w:pgSz w:h="15840" w:w="12240" w:orient="portrait"/>
      <w:pgMar w:bottom="1000" w:top="1000" w:left="1100" w:right="11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/>
      <w:drawing>
        <wp:inline distB="114300" distT="114300" distL="114300" distR="114300">
          <wp:extent cx="3602038" cy="98765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02038" cy="9876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mpeek.com/" TargetMode="External"/><Relationship Id="rId8" Type="http://schemas.openxmlformats.org/officeDocument/2006/relationships/hyperlink" Target="https://empeek.com/contact-us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kYv2u6/DtxP4upGQ9/KzC9P4aQ==">CgMxLjA4AHIhMU8wSmt0TU1fSmd1cnRDSzU3YXdxUTBwT1ZRZllTV2gt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2026-09-03T07:03:49.503Z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